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009"/>
        <w:gridCol w:w="3009"/>
        <w:gridCol w:w="3009"/>
      </w:tblGrid>
      <w:tr>
        <w:trPr>
          <w:trHeight w:val="1" w:hRule="atLeast"/>
          <w:jc w:val="left"/>
        </w:trPr>
        <w:tc>
          <w:tcPr>
            <w:tcW w:w="902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COLEGIO NICOLÁS ESGUERRA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PLAN DE MEJORAMIENTO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3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ESPAÑOL GRADO 11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SEGUNDO PERIODO 2019</w:t>
            </w:r>
          </w:p>
        </w:tc>
        <w:tc>
          <w:tcPr>
            <w:tcW w:w="3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PROFESORES: RODRIGO ZAPATA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KAREN MORENO</w:t>
            </w:r>
          </w:p>
        </w:tc>
      </w:tr>
    </w:tbl>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siguiente plan de mejoramiento debe realizarlo en hojas examen y debe entregarlo en clase.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LITERATURA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Realice un mapa conceptual  de la literatua  clásica Griega ( contexto histórico y carcaterísticas, autores y obras)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Realice un mapa conceptual de la literature clásica Romana ( contexto histórico, características, autores y obras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Realice un palalelo entre la Iliada y la Odisea donde  explique los sigueintes aspectos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protagonistas de estas historias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¿Cuál es el nivel de importancia de los dioses y el destino en ambas narraciones?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estructura de las dos epopeyas homericas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argumentos de las obras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Consulte a que se refiere las siguientes expresiones </w:t>
      </w: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“Caballo de Troya”</w:t>
      </w: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“Talón de Aquiles”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Escriba una minibiografía de los siguientes autores: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Esquilo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Sóflcles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Eurípoides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Aristófanes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Menandro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La literatura de viajes aborda diferentes espacios; un lugar, un espacio por recorrer o un lugar de llegada. A continuación encuentra un poema  </w:t>
      </w:r>
      <w:r>
        <w:rPr>
          <w:rFonts w:ascii="Calibri" w:hAnsi="Calibri" w:cs="Calibri" w:eastAsia="Calibri"/>
          <w:i/>
          <w:color w:val="auto"/>
          <w:spacing w:val="0"/>
          <w:position w:val="0"/>
          <w:sz w:val="22"/>
          <w:shd w:fill="auto" w:val="clear"/>
        </w:rPr>
        <w:t xml:space="preserve">Caminante no hay camino</w:t>
      </w:r>
      <w:r>
        <w:rPr>
          <w:rFonts w:ascii="Calibri" w:hAnsi="Calibri" w:cs="Calibri" w:eastAsia="Calibri"/>
          <w:color w:val="auto"/>
          <w:spacing w:val="0"/>
          <w:position w:val="0"/>
          <w:sz w:val="22"/>
          <w:shd w:fill="auto" w:val="clear"/>
        </w:rPr>
        <w:t xml:space="preserve"> escrito por Antonio Machado e interpretado por Joan Manuel Serrat.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responda las siguientes actividades:</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 el poema</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Escuche la canción </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Escuche y lea el poema.</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Subraye los versos que aluden al lugar de salida , de llegada o al recorrido</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Explique las diferencias entre un texto que se lee , uno que se escucha y uno que se escucha y se lee al mismo tiempo.</w:t>
      </w:r>
    </w:p>
    <w:p>
      <w:pPr>
        <w:numPr>
          <w:ilvl w:val="0"/>
          <w:numId w:val="11"/>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Explique la expression “ caminante no hay camino se hace camino al andar"</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PARRAFOS Y TIPOS DE PÁRRAFOS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Realice la lectura del siguiente texto y analice cada párrafo con los siguientes parámetros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Parrafo 1</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Tipo de párrafo:__________________</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Idea principal:_____________________</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Ubicación idea dentro del párrafo( inicio , en medio , final )________________</w:t>
      </w:r>
    </w:p>
    <w:p>
      <w:pPr>
        <w:spacing w:before="0" w:after="0" w:line="240"/>
        <w:ind w:right="0" w:left="0" w:firstLine="0"/>
        <w:jc w:val="center"/>
        <w:rPr>
          <w:rFonts w:ascii="Calibri" w:hAnsi="Calibri" w:cs="Calibri" w:eastAsia="Calibri"/>
          <w:b/>
          <w:i/>
          <w:color w:val="333333"/>
          <w:spacing w:val="0"/>
          <w:position w:val="0"/>
          <w:sz w:val="22"/>
          <w:shd w:fill="FFFFFF" w:val="clear"/>
        </w:rPr>
      </w:pPr>
      <w:r>
        <w:rPr>
          <w:rFonts w:ascii="Calibri" w:hAnsi="Calibri" w:cs="Calibri" w:eastAsia="Calibri"/>
          <w:b/>
          <w:i/>
          <w:color w:val="333333"/>
          <w:spacing w:val="0"/>
          <w:position w:val="0"/>
          <w:sz w:val="22"/>
          <w:shd w:fill="FFFFFF" w:val="clear"/>
        </w:rPr>
        <w:t xml:space="preserve">Si no se va no se ve. </w:t>
      </w:r>
    </w:p>
    <w:p>
      <w:pPr>
        <w:spacing w:before="0" w:after="0" w:line="240"/>
        <w:ind w:right="0" w:left="0" w:firstLine="0"/>
        <w:jc w:val="both"/>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Hace poco asistí a la conversación entre una mujer de 94 años y otra de 86. La más joven se quejaba de que los plátanos maduros ya no eran tan buenos como antes; no estaban en su punto ni tenían el tamaño adecuado. La más vieja decía, en cambio, que a ella le parecía que estaban iguales e incluso mejores que siempre. La menos vieja anotó: “No sé, es que por más que les insisto, me mandan siempre plátanos muy malos.” La mayor tuvo un sobresalto: “¿Y es que no vas personalmente a escogerlos al mercado?” Y la menor: “Ya no, con este problema de cadera, yo solo salgo cuando mis hijas me sacan…”. La menos joven: “Ni que no hubiera caminadores; además el mejor caminador es el carrito del mercado; yo hasta compré un carrito de mercado para andar por mi casa y lo llevo a todas partes”. En efecto, la señora mayor había llegado hacía poco a la reunión apoyada en un carrito de mercado; adentro llevaba un suéter, un libro, la cartera, la costura, y un manojo de plátanos que había traído de regalo.  </w:t>
      </w:r>
    </w:p>
    <w:p>
      <w:pPr>
        <w:spacing w:before="0" w:after="300" w:line="390"/>
        <w:ind w:right="0" w:left="0" w:firstLine="0"/>
        <w:jc w:val="both"/>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         Sin duda el telemercadeo, los Rappi, las tiendas tipo Amazon, los drones que dentro de poco nos traerán pizzas y libros a domicilio, representan una gran comodidad. Pero eso de no salir de la casa y que todo nos lo traigan es también una trampa. Las reuniones por Zoom y por Skype, los grupos de Whatsapp, las librerías virtuales, la música en Spotify, las películas en Netflix, la ópera en casa, todos los embelecos mágicos del mundo contemporáneo, al mismo tiempo que nos facilitan la vida, nos alejan también de la vida: de la vida en vivo, de la vida caliente. Los mamíferos tenemos la mala tendencia a ser sedentarios: solo nos mueven el hambre y las ganas de copular. Si nos traen la comida a la cama y el sexo a la pantalla, corremos el riesgo de no salir nunca del cuarto, como gatos cebados y castrados.</w:t>
      </w:r>
    </w:p>
    <w:p>
      <w:pPr>
        <w:spacing w:before="0" w:after="0" w:line="390"/>
        <w:ind w:right="0" w:left="0" w:firstLine="0"/>
        <w:jc w:val="both"/>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         Hace muchos años estuve en Mendoza, Argentina, buscando un poema. Estando en esa búsqueda asistí a la discusión entre un verdulero y una de sus clientas. La cliente le decía que se había mudado más lejos, pero que le gustaban sus legumbres, que por qué no ponía un servicio de </w:t>
      </w:r>
      <w:r>
        <w:rPr>
          <w:rFonts w:ascii="Calibri" w:hAnsi="Calibri" w:cs="Calibri" w:eastAsia="Calibri"/>
          <w:i/>
          <w:color w:val="333333"/>
          <w:spacing w:val="0"/>
          <w:position w:val="0"/>
          <w:sz w:val="22"/>
          <w:shd w:fill="FFFFFF" w:val="clear"/>
        </w:rPr>
        <w:t xml:space="preserve">delivery </w:t>
      </w:r>
      <w:r>
        <w:rPr>
          <w:rFonts w:ascii="Calibri" w:hAnsi="Calibri" w:cs="Calibri" w:eastAsia="Calibri"/>
          <w:color w:val="333333"/>
          <w:spacing w:val="0"/>
          <w:position w:val="0"/>
          <w:sz w:val="22"/>
          <w:shd w:fill="FFFFFF" w:val="clear"/>
        </w:rPr>
        <w:t xml:space="preserve">(como les dicen en Argentina a los domicilios). El verdulero le contestó: “Señora, es que yo vivo de sus tentaciones, y no de sus necesidades.” Exactamente eso es lo bueno de ir a una librería, en vez de comprar los libros por Amazon: que no compramos solo lo que fuimos a buscar (lo que la publicidad nos invita a consumir) sino que nos antojamos de cosas que no sabíamos que queríamos o ni siquiera que existían.</w:t>
      </w:r>
    </w:p>
    <w:p>
      <w:pPr>
        <w:spacing w:before="0" w:after="0" w:line="240"/>
        <w:ind w:right="0" w:left="0" w:firstLine="0"/>
        <w:jc w:val="both"/>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         En el mundo contemporáneo nos lo dan todo masticado, precocido, incluso predigerido. Hace poco Fernando Trueba me contó la anécdota de la producción de sonido de un disco que acababa de grabar. El sonidista había hecho un trabajo impecable. Había suprimido todos los titubeos, los pequeños ruidos, las mínimas imperfecciones que se oían en la interpretación de Bebo Valdés. El resultado era perfecto, sí, pero ahora carecía de vida. Por eso le pidió al mezclador de sonido que fuera menos estricto, que dejara sentir lo humano. Eso es lo que nos falta ahora, cuando ya no vamos a los conciertos, sino que oímos todo perfectamente mezclado en la casa. Desaparecen la improvisación, el error, el cambio de ritmo que obedece a una emoción, a un énfasis sentimental del momento. Como el VAR en el fútbol, que suprime (al menos en mí) algo importante: la abominación por los errores del árbitro, las picardías del enemigo. El fútbol es mejor cuando se parece a la vida, que es imperfecta e injusta. Todo esto para explicar el título de este artículo: si no se va no se ve. Si nos acostumbramos a hacerlo todo desde la casa, sin movernos, virtualmente, nos vamos a perder la mitad, mucho más de la mitad de la vida. Los libros que no sabíamos que queríamos leer, los cuadros que no son iguales en foto que en directo, los partidos, los conciertos, los sabores auténticos, las tentaciones, los plátanos buenos. Así de simple, así de triste.</w:t>
      </w:r>
    </w:p>
    <w:p>
      <w:pPr>
        <w:spacing w:before="0" w:after="0" w:line="240"/>
        <w:ind w:right="0" w:left="0" w:firstLine="0"/>
        <w:jc w:val="righ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 Hector Abad Faciolince 2019</w:t>
      </w:r>
    </w:p>
    <w:p>
      <w:pPr>
        <w:spacing w:before="0" w:after="0" w:line="240"/>
        <w:ind w:right="0" w:left="0" w:firstLine="0"/>
        <w:jc w:val="left"/>
        <w:rPr>
          <w:rFonts w:ascii="Calibri" w:hAnsi="Calibri" w:cs="Calibri" w:eastAsia="Calibri"/>
          <w:color w:val="333333"/>
          <w:spacing w:val="0"/>
          <w:position w:val="0"/>
          <w:sz w:val="16"/>
          <w:shd w:fill="FFFFFF" w:val="clear"/>
        </w:rPr>
      </w:pPr>
      <w:r>
        <w:rPr>
          <w:rFonts w:ascii="Calibri" w:hAnsi="Calibri" w:cs="Calibri" w:eastAsia="Calibri"/>
          <w:color w:val="333333"/>
          <w:spacing w:val="0"/>
          <w:position w:val="0"/>
          <w:sz w:val="16"/>
          <w:shd w:fill="FFFFFF" w:val="clear"/>
        </w:rPr>
        <w:t xml:space="preserve">Tomado </w:t>
      </w:r>
      <w:hyperlink xmlns:r="http://schemas.openxmlformats.org/officeDocument/2006/relationships" r:id="docRId0">
        <w:r>
          <w:rPr>
            <w:rFonts w:ascii="Calibri" w:hAnsi="Calibri" w:cs="Calibri" w:eastAsia="Calibri"/>
            <w:color w:val="333333"/>
            <w:spacing w:val="0"/>
            <w:position w:val="0"/>
            <w:sz w:val="16"/>
            <w:u w:val="single"/>
            <w:shd w:fill="FFFFFF" w:val="clear"/>
          </w:rPr>
          <w:t xml:space="preserve">www.hectorabad.com</w:t>
        </w:r>
      </w:hyperlink>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COHERENCIA Y COHESIÓN</w:t>
      </w:r>
      <w:r>
        <w:rPr>
          <w:rFonts w:ascii="Calibri" w:hAnsi="Calibri" w:cs="Calibri" w:eastAsia="Calibri"/>
          <w:color w:val="auto"/>
          <w:spacing w:val="0"/>
          <w:position w:val="0"/>
          <w:sz w:val="22"/>
          <w:shd w:fill="auto" w:val="clear"/>
        </w:rPr>
        <w:br/>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Escriba oraciones que ejemplifiquen cada uno de los siguientes rasgos de coherencia o cohesión presentes en el texto anterior</w:t>
      </w:r>
    </w:p>
    <w:p>
      <w:pPr>
        <w:numPr>
          <w:ilvl w:val="0"/>
          <w:numId w:val="21"/>
        </w:numPr>
        <w:spacing w:before="0" w:after="0" w:line="240"/>
        <w:ind w:right="0" w:left="4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Catáfora</w:t>
      </w:r>
    </w:p>
    <w:p>
      <w:pPr>
        <w:numPr>
          <w:ilvl w:val="0"/>
          <w:numId w:val="21"/>
        </w:numPr>
        <w:spacing w:before="0" w:after="0" w:line="240"/>
        <w:ind w:right="0" w:left="4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Asociación</w:t>
      </w:r>
    </w:p>
    <w:p>
      <w:pPr>
        <w:numPr>
          <w:ilvl w:val="0"/>
          <w:numId w:val="21"/>
        </w:numPr>
        <w:spacing w:before="0" w:after="0" w:line="240"/>
        <w:ind w:right="0" w:left="4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Reiteración</w:t>
      </w:r>
    </w:p>
    <w:p>
      <w:pPr>
        <w:numPr>
          <w:ilvl w:val="0"/>
          <w:numId w:val="21"/>
        </w:numPr>
        <w:spacing w:before="0" w:after="0" w:line="240"/>
        <w:ind w:right="0" w:left="4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Anáfora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LECTURA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Lee con atención el siguiente texto y rersponda las siguientes preguntas</w:t>
      </w:r>
    </w:p>
    <w:p>
      <w:pPr>
        <w:spacing w:before="0" w:after="160" w:line="259"/>
        <w:ind w:right="0" w:left="1416" w:firstLine="708"/>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Los nueve libros de la historia (Fragmento) </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La gente más culta de Persia, y mejor instruida en la historia, pretende que los fenicios fueron los autores primitivos de todas las discordias que se suscitaron entre los griegos y las demás naciones. Habiendo aquellos venido del mar Eritreo al nuestro, se establecieron en la misma región que hoy ocupan, y se dieron desde luego al comercio en sus largas navegaciones. Los negociantes fenicios, desembarcando sus mercaderías, las expusieron con orden a pública venta. Entre las mujeres que en gran número concurrieron a la playa, fue una la joven Io, hija de Inaco, rey de Argos, a la cual dan los persas el mismo nombre que los griegos. Al quinto o sexto día de la llegada de los extranjeros, despachada la mayor parte de sus géneros y hallándose las mujeres cercanas a la popa, después de haber comprado cada una lo que más excitaba sus deseos, concibieron y ejecutaron los fenicios el pensamiento de robarlas. En efecto, exhortándose unos a otros, arremetieron contra todas ellas, y si bien la mayor parte se les pudo escapar, no cupo esta suerte a la princesa, que arrebatada con otras, fue metida en la nave y llevada después al Egipto, para donde se hicieron luego a la vela.. Así dicen los persas que fue conducida al Egipto, no como nos lo cuentan los griegos, y que este fue el principio de los atentados públicos entre asiáticos y europeos, más que después ciertos griegos (serían a la cuenta los cretenses, puesto que no saben decirnos su nombre), habiendo aportado a Tiro en las costas de Fenicia, arrebataron a aquel príncipe una hija, por nombre Europa, pagando a los fenicios la injuria recibida con otra equivalente. Añaden también que no satisfechos los griegos con este desafuero, cometieron algunos años después otro semejante; porque habiendo navegado en una nave larga hasta el río Fasis, llegaron a Ea en la Cólquide, donde después de haber conseguido el objeto principal de su viaje, robaron al rey de Colcos una hija, llamada Medea. Su padre, por medio de un heraldo que envió a Grecia, pidió, juntamente con la satisfacción del rapto, que le fuese restituida su hija; pero los griegos contestaron que ya que los asiáticos no se la dieran antes por el robo de Io, tampoco la darían ellos por el de Medea.</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HERÓDOTO. Los nueve libros de la historia. Buenos Aires : Editorial Jakson, 1949.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El texto es de carácter:</w:t>
      </w:r>
    </w:p>
    <w:p>
      <w:pPr>
        <w:numPr>
          <w:ilvl w:val="0"/>
          <w:numId w:val="2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Narrativo</w:t>
      </w:r>
    </w:p>
    <w:p>
      <w:pPr>
        <w:numPr>
          <w:ilvl w:val="0"/>
          <w:numId w:val="2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Argumentativo</w:t>
      </w:r>
    </w:p>
    <w:p>
      <w:pPr>
        <w:numPr>
          <w:ilvl w:val="0"/>
          <w:numId w:val="2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Descriptivo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Señale con una </w:t>
      </w:r>
      <w:r>
        <w:rPr>
          <w:rFonts w:ascii="Calibri" w:hAnsi="Calibri" w:cs="Calibri" w:eastAsia="Calibri"/>
          <w:b/>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 los pueblos, personajes y actividades que pertenecen al bando de los asiáticos, y con una </w:t>
      </w:r>
      <w:r>
        <w:rPr>
          <w:rFonts w:ascii="Calibri" w:hAnsi="Calibri" w:cs="Calibri" w:eastAsia="Calibri"/>
          <w:b/>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 los del bando de los griegos.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Medea___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Comerciantes 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Inaco_____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Fenicios 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Navegantes____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  Io 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21">
    <w:abstractNumId w:val="6"/>
  </w: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ectorabad.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