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5CE" w:rsidRDefault="006B15CE" w:rsidP="006B15CE">
      <w:pPr>
        <w:jc w:val="both"/>
        <w:rPr>
          <w:b/>
          <w:sz w:val="24"/>
          <w:szCs w:val="24"/>
        </w:rPr>
      </w:pPr>
      <w:r w:rsidRPr="00F9257E">
        <w:rPr>
          <w:b/>
          <w:sz w:val="24"/>
          <w:szCs w:val="24"/>
        </w:rPr>
        <w:t xml:space="preserve">¿QUÉ HACEMOS CON LA MASCULINIDAD: REFORMARLA, O ABOLIRLA TRANSFORMARLA?  </w:t>
      </w:r>
    </w:p>
    <w:p w:rsidR="006B15CE" w:rsidRPr="00F9257E" w:rsidRDefault="006B15CE" w:rsidP="006B15CE">
      <w:pPr>
        <w:jc w:val="both"/>
        <w:rPr>
          <w:b/>
          <w:sz w:val="24"/>
          <w:szCs w:val="24"/>
        </w:rPr>
      </w:pPr>
      <w:r>
        <w:rPr>
          <w:b/>
          <w:sz w:val="24"/>
          <w:szCs w:val="24"/>
        </w:rPr>
        <w:t xml:space="preserve">Por: </w:t>
      </w:r>
      <w:r w:rsidRPr="00F9257E">
        <w:rPr>
          <w:b/>
          <w:sz w:val="24"/>
          <w:szCs w:val="24"/>
        </w:rPr>
        <w:t>Jokin Azpiazu Carballo</w:t>
      </w:r>
    </w:p>
    <w:p w:rsidR="00271149" w:rsidRDefault="00271149" w:rsidP="006B15CE">
      <w:pPr>
        <w:jc w:val="both"/>
        <w:rPr>
          <w:sz w:val="20"/>
          <w:szCs w:val="20"/>
        </w:rPr>
        <w:sectPr w:rsidR="00271149" w:rsidSect="00F33C58">
          <w:headerReference w:type="even" r:id="rId7"/>
          <w:headerReference w:type="default" r:id="rId8"/>
          <w:footerReference w:type="even" r:id="rId9"/>
          <w:footerReference w:type="default" r:id="rId10"/>
          <w:headerReference w:type="first" r:id="rId11"/>
          <w:footerReference w:type="first" r:id="rId12"/>
          <w:pgSz w:w="12020" w:h="18711"/>
          <w:pgMar w:top="720" w:right="720" w:bottom="720" w:left="567" w:header="709" w:footer="573" w:gutter="0"/>
          <w:cols w:space="708"/>
          <w:docGrid w:linePitch="360"/>
        </w:sectPr>
      </w:pPr>
    </w:p>
    <w:p w:rsidR="006B15CE" w:rsidRPr="00707F30" w:rsidRDefault="006B15CE" w:rsidP="006B15CE">
      <w:pPr>
        <w:jc w:val="both"/>
        <w:rPr>
          <w:sz w:val="20"/>
          <w:szCs w:val="20"/>
        </w:rPr>
      </w:pPr>
      <w:r w:rsidRPr="00707F30">
        <w:rPr>
          <w:sz w:val="20"/>
          <w:szCs w:val="20"/>
        </w:rPr>
        <w:t>Durante los últimos años, el estudio de la masculinidad (o las masculinidades) ha recibido gran atención tanto en el ámbito de la investigación como en otros ámbitos sociales, como por ejemplo el de los medios de comunicación. Al amparo de los estudios de género, en varias universidades se están realizando estudios sobre masculinidad, y las líneas de investigación sobre el tema se están fortaleciendo y afianzando. Al mismo tiempo se están impulsando diferentes iniciativas en el terreno de los movimientos sociales así como en el de la intervención institucional, siendo probablemente las más conocidas los denominados “grupos de hombres”.</w:t>
      </w:r>
    </w:p>
    <w:p w:rsidR="006B15CE" w:rsidRPr="00707F30" w:rsidRDefault="006B15CE" w:rsidP="006B15CE">
      <w:pPr>
        <w:jc w:val="both"/>
        <w:rPr>
          <w:sz w:val="20"/>
          <w:szCs w:val="20"/>
        </w:rPr>
      </w:pPr>
      <w:r w:rsidRPr="00707F30">
        <w:rPr>
          <w:sz w:val="20"/>
          <w:szCs w:val="20"/>
        </w:rPr>
        <w:t xml:space="preserve"> La idea que subyace en la atención que la masculinidad está recibiendo en el terreno académico es la siguiente: el género es una construcción social (tal y como la teoría feminista ha argumentado ampliamente) que también nos afecta a los hombres. Por lo tanto, poner el “ser hombre” a debate e iniciar una tarea de deconstrucción es posible. Así, los estudios sobre la masculinidad nos animan a ampliar la mirada sobre el género, a mirar a los hombres. Esto tiene sus efectos positivos, ya que los hombres no nos situaríamos ya en la base de “lo universal” sino en el terreno de las normas de género y su contingencia histórica y social.</w:t>
      </w:r>
    </w:p>
    <w:p w:rsidR="006B15CE" w:rsidRPr="00707F30" w:rsidRDefault="006B15CE" w:rsidP="006B15CE">
      <w:pPr>
        <w:jc w:val="both"/>
        <w:rPr>
          <w:sz w:val="20"/>
          <w:szCs w:val="20"/>
        </w:rPr>
      </w:pPr>
      <w:r w:rsidRPr="00707F30">
        <w:rPr>
          <w:sz w:val="20"/>
          <w:szCs w:val="20"/>
        </w:rPr>
        <w:t xml:space="preserve"> Sin embargo, de este planteamiento pueden emerger un gran número de dudas y contradicciones. El movimiento feminista ha conseguido en las últimas décadas redireccionar la mirada (científica, mediática, social) hacia las mujeres. Este fenómeno se da además en un mar de contradicciones y contra-efectos al que los feminismos han tenido que responder a través de la crítica, la implementación y, al fin y al cabo, la transformación de esa misma “mirada”. Las ciencias sociales han observado a menudo a las mujeres como meros objetos sin capacidad de agencia y sin voz, y debido a ello ha sido necesario reivindicar que no sólo se trata de “mirar a” sino de “cómo” mirar. De cualquier forma, lo que ahora nos atañe es que en los últimos años esa mirada se dirige hacia los hombres. A menudo, sin embargo, no se pone suficiente énfasis en explicar que todo el periodo histórico anterior (y el actual en gran medida) se caracteriza precisamente por la negación de la existencia social de las mujeres. Es decir, que la mirada -social, académica, mediática- siempre ha estado dirigida a los hombres.</w:t>
      </w:r>
    </w:p>
    <w:p w:rsidR="006B15CE" w:rsidRPr="00707F30" w:rsidRDefault="006B15CE" w:rsidP="006B15CE">
      <w:pPr>
        <w:jc w:val="both"/>
        <w:rPr>
          <w:sz w:val="20"/>
          <w:szCs w:val="20"/>
        </w:rPr>
      </w:pPr>
      <w:r w:rsidRPr="00707F30">
        <w:rPr>
          <w:sz w:val="20"/>
          <w:szCs w:val="20"/>
        </w:rPr>
        <w:t xml:space="preserve"> En el terreno social y asociativo, los “grupos de hombres” son probablemente las iniciativas más conocidas, pero no las únicas. Se han realizado en los últimos años varias acciones más que nos han tenido a los hombres como protagonistas. </w:t>
      </w:r>
      <w:r w:rsidRPr="00707F30">
        <w:rPr>
          <w:sz w:val="20"/>
          <w:szCs w:val="20"/>
        </w:rPr>
        <w:t>Muchas de ellas se han desarrollado en torno a la violencia machista: cadenas</w:t>
      </w:r>
      <w:r w:rsidR="00271149">
        <w:rPr>
          <w:sz w:val="20"/>
          <w:szCs w:val="20"/>
        </w:rPr>
        <w:t xml:space="preserve"> humanas, manifiestos, campañas </w:t>
      </w:r>
      <w:r w:rsidRPr="00707F30">
        <w:rPr>
          <w:sz w:val="20"/>
          <w:szCs w:val="20"/>
        </w:rPr>
        <w:t>publicitarias y foto-denuncias… Los hombres hemos anunciado en público nuestra intención de incidir en la lucha contra el sexismo y el machismo, y a menudo hemos recibido por ello abundante atención mediática, más que los grupos de mujeres que se dedican a lo mismo.</w:t>
      </w:r>
    </w:p>
    <w:p w:rsidR="006B15CE" w:rsidRPr="00707F30" w:rsidRDefault="006B15CE" w:rsidP="006B15CE">
      <w:pPr>
        <w:jc w:val="both"/>
        <w:rPr>
          <w:sz w:val="20"/>
          <w:szCs w:val="20"/>
        </w:rPr>
      </w:pPr>
      <w:r w:rsidRPr="00707F30">
        <w:rPr>
          <w:sz w:val="20"/>
          <w:szCs w:val="20"/>
        </w:rPr>
        <w:t xml:space="preserve"> El punto de partida de estas iniciativas es la necesidad de que los hombres nos impliquemos contra el sexismo, lo que se ha enunciado de maneras bien diversas: se ha dicho que nuestra implicación es indispensable, que es nuestra obligación, que supone una ventaja para nosotros también, que sin nosotros el cambio es imposible… Cada forma de plantear el asunto implica matices bien diferentes. En cualquier caso, estaríamos hablando del uso y ocupación del espacio público (las calles, los medios, los discursos) y en ese terreno se ha visualizado de manera bastante clara que una palabra de hombre vale más que el enunciado completo de las mujeres, aunque ambas hablen de sexismo.</w:t>
      </w:r>
    </w:p>
    <w:p w:rsidR="006B15CE" w:rsidRPr="00707F30" w:rsidRDefault="006B15CE" w:rsidP="006B15CE">
      <w:pPr>
        <w:jc w:val="both"/>
        <w:rPr>
          <w:sz w:val="20"/>
          <w:szCs w:val="20"/>
        </w:rPr>
      </w:pPr>
      <w:r w:rsidRPr="00707F30">
        <w:rPr>
          <w:sz w:val="20"/>
          <w:szCs w:val="20"/>
        </w:rPr>
        <w:t xml:space="preserve"> Durante los años 2011 y 2012, realicé una pequeña investigación respecto a estas cuestiones en el marco del máster de ‘Estudios feministas y de género’ de la Universidad del País Vasco. Mi objetivo era señalar algunas cuestiones que pueden resultar problemáticas sobre el trabajo con “masculinidades” tanto desde el punto de vista académico como </w:t>
      </w:r>
      <w:proofErr w:type="spellStart"/>
      <w:r w:rsidRPr="00707F30">
        <w:rPr>
          <w:sz w:val="20"/>
          <w:szCs w:val="20"/>
        </w:rPr>
        <w:t>movimentista</w:t>
      </w:r>
      <w:proofErr w:type="spellEnd"/>
      <w:r w:rsidRPr="00707F30">
        <w:rPr>
          <w:sz w:val="20"/>
          <w:szCs w:val="20"/>
        </w:rPr>
        <w:t>. Traté de señalar algunos de los anclajes en los que se está amarrando la construcción discursiva en torno a las masculinidades hoy en día.</w:t>
      </w:r>
    </w:p>
    <w:p w:rsidR="006B15CE" w:rsidRPr="00707F30" w:rsidRDefault="006B15CE" w:rsidP="006B15CE">
      <w:pPr>
        <w:jc w:val="both"/>
        <w:rPr>
          <w:sz w:val="20"/>
          <w:szCs w:val="20"/>
        </w:rPr>
      </w:pPr>
      <w:r w:rsidRPr="00707F30">
        <w:rPr>
          <w:sz w:val="20"/>
          <w:szCs w:val="20"/>
        </w:rPr>
        <w:t xml:space="preserve"> En el terreno académico hubo especialmente dos cuestiones que llamaron mi atención. Por un lado me parece que a la hora de investigar sobre masculinidad hay una tendencia bastante general a centrarse en la identidad, en detrimento de los puntos de vista que priorizan el enfoque sobre el poder o la hegemonía. Se estudia mucho qué significa ser hombre para el propio hombre, y no tanto cómo incide en las relaciones entre personas que hemos sido asignadas en diferentes sexos. Por otro lado, tengo la impresión de que los estudios sobre esta cuestión se están convirtiendo cada vez más en auto-referenciales. Los estudios sobre masculinidades parten de presupuestos teóricos construidos en los propios estudios sobre masculinidades, y cada vez se nutren menos de reflexiones feministas.</w:t>
      </w:r>
    </w:p>
    <w:p w:rsidR="006B15CE" w:rsidRPr="00707F30" w:rsidRDefault="006B15CE" w:rsidP="006B15CE">
      <w:pPr>
        <w:jc w:val="both"/>
        <w:rPr>
          <w:sz w:val="20"/>
          <w:szCs w:val="20"/>
        </w:rPr>
      </w:pPr>
      <w:r w:rsidRPr="00707F30">
        <w:rPr>
          <w:sz w:val="20"/>
          <w:szCs w:val="20"/>
        </w:rPr>
        <w:t xml:space="preserve"> Esto tiene consecuencias de impacto tanto en el enfoque (o mirada) que se utiliza para abordar el tema, así como en el contexto del que se parte. Por ejemplo, una cuestión difícil y </w:t>
      </w:r>
      <w:r w:rsidRPr="00707F30">
        <w:rPr>
          <w:sz w:val="20"/>
          <w:szCs w:val="20"/>
        </w:rPr>
        <w:lastRenderedPageBreak/>
        <w:t>problemática en la teoría y práctica feminista de las últimas décadas ha sido la del sujeto, la pregunta clave que intensos debates tratan de contestar: ¿quién es hoy en día el sujeto político del feminismo, ahora que precisamente las diferentes expresiones feministas han cuestionado la categoría mujer como única, partiendo de las diferentes experiencias y posiciones de las mujeres en lo social? El intento de articular la capacidad política y subjetiva de las mujeres en esta red o maraña de diferencias es una cuestión de vital importancia, y por lo tanto, muy complicada. Sin embargo, las implicaciones que la participación de los hombres en “el feminismo” podría suponer no son un tema de debate principal en las teorías sobre masculinidad. Esto determina la dirección en la cual se desarrollan los debates, dejando de lado temas que para los feminismos son de crucial importancia.</w:t>
      </w:r>
    </w:p>
    <w:p w:rsidR="006B15CE" w:rsidRPr="00707F30" w:rsidRDefault="006B15CE" w:rsidP="006B15CE">
      <w:pPr>
        <w:jc w:val="both"/>
        <w:rPr>
          <w:sz w:val="20"/>
          <w:szCs w:val="20"/>
        </w:rPr>
      </w:pPr>
      <w:r w:rsidRPr="00707F30">
        <w:rPr>
          <w:sz w:val="20"/>
          <w:szCs w:val="20"/>
        </w:rPr>
        <w:t xml:space="preserve"> Saltando al terreno de los movimientos sociales me dediqué al estudio de algunos escritos y documentos publicados  (en el ámbito de la Comunidad Autónoma Vasca) por grupos de hombres e iniciativas institucionales en torno a la masculinidad. En ese trabajo, incompleto aún, pude empezar a dibujar algunas claves que en mi opinión merece la pena poner sobre la mesa:</w:t>
      </w:r>
    </w:p>
    <w:p w:rsidR="006B15CE" w:rsidRPr="00707F30" w:rsidRDefault="006B15CE" w:rsidP="006B15CE">
      <w:pPr>
        <w:jc w:val="both"/>
        <w:rPr>
          <w:sz w:val="20"/>
          <w:szCs w:val="20"/>
        </w:rPr>
      </w:pPr>
      <w:r w:rsidRPr="00707F30">
        <w:rPr>
          <w:sz w:val="20"/>
          <w:szCs w:val="20"/>
        </w:rPr>
        <w:t xml:space="preserve"> Para empezar, hablamos de masculinidad y aún nos referimos a un modelo muy concreto. Al mismo tiempo que se reivindica que existen diferentes maneras de vivir la masculinidad, se identifica el ejercicio de la misma con sujetos concretos: personas que han sido identificadas como hombres al nacer, heterosexuales, en la mayoría de los casos involucrados en relaciones de pareja. El resto, quienes hemos tenido algún problema que otro para encajar en el carril de la masculinidad “hegemónica” (hombres trans, homosexuales, afeminados…) quedamos fuera de esa categoría. Esto supone un doble riesgo: por un lado decir que no somos hombres (por mí bien, ojalá) pero por otro, pensar que por ser masculinidades “marginales” no ostentamos actitudes hegemónicas y poder.</w:t>
      </w:r>
    </w:p>
    <w:p w:rsidR="006B15CE" w:rsidRPr="00707F30" w:rsidRDefault="006B15CE" w:rsidP="006B15CE">
      <w:pPr>
        <w:jc w:val="both"/>
        <w:rPr>
          <w:sz w:val="20"/>
          <w:szCs w:val="20"/>
        </w:rPr>
      </w:pPr>
      <w:r w:rsidRPr="00707F30">
        <w:rPr>
          <w:sz w:val="20"/>
          <w:szCs w:val="20"/>
        </w:rPr>
        <w:t xml:space="preserve"> En este sentido, la mayoría de propuestas vienen a cuestionar y modificar las relaciones que se dan entre hombres y mujeres, sobre todo en el terreno familiar y doméstico, dejando de lado (o prestando mucha menos atención) a otros espacios, sujetos y situaciones. Reivindicamos que los hombres nos tenemos que poner el delantal, pero no tenemos demasiadas propuestas para cómo (por ejemplo) rechazar los privilegios que ser hombres nos aporta en el mercado laboral.</w:t>
      </w:r>
    </w:p>
    <w:p w:rsidR="006B15CE" w:rsidRPr="00707F30" w:rsidRDefault="006B15CE" w:rsidP="006B15CE">
      <w:pPr>
        <w:jc w:val="both"/>
        <w:rPr>
          <w:sz w:val="20"/>
          <w:szCs w:val="20"/>
        </w:rPr>
      </w:pPr>
      <w:r w:rsidRPr="00707F30">
        <w:rPr>
          <w:sz w:val="20"/>
          <w:szCs w:val="20"/>
        </w:rPr>
        <w:t xml:space="preserve"> En cambio, nos resulta más fácil denunciar las cargas y “daños colaterales” que el patriarcado nos ha impuesto. Señalamos los espacios que nos han sido negados por ser </w:t>
      </w:r>
      <w:r w:rsidRPr="00707F30">
        <w:rPr>
          <w:sz w:val="20"/>
          <w:szCs w:val="20"/>
        </w:rPr>
        <w:t>hombres y subrayamos la necesidad de conquistarlos, pero tenemos más dificultades para enfatizar el otro lado de la moneda, los espacios que el patriarcado nos ha dado, aquellos que tenemos que des-conquistar. No señalamos, además, que esta moneda no es casi nunca simétrica, que estos privilegios nos vienen muy bien para movernos en el mundo actual.</w:t>
      </w:r>
    </w:p>
    <w:p w:rsidR="006B15CE" w:rsidRPr="00707F30" w:rsidRDefault="006B15CE" w:rsidP="006B15CE">
      <w:pPr>
        <w:jc w:val="both"/>
        <w:rPr>
          <w:sz w:val="20"/>
          <w:szCs w:val="20"/>
        </w:rPr>
      </w:pPr>
      <w:r w:rsidRPr="00707F30">
        <w:rPr>
          <w:sz w:val="20"/>
          <w:szCs w:val="20"/>
        </w:rPr>
        <w:t xml:space="preserve"> En este sentido, me parece muy importante identificar las motivaciones que nos llevan a implicarnos en las luchas por la igualdad. Estamos dispuestos a asumir algunos de los trabajos que históricamente han realizado las mujeres (los trabajos de cuidado son paradigmáticos en este caso). Decimos que el cuidado de nuestras criaturas (de aquellos que las tengan, claro) es fundamental, y más aún, señalamos las ventajas que esto nos traerá. Sin embargo, mencionar a las personas enfermas, o con autonomía reducida por cualquier motivo, nos cuesta bastante más. Decimos que con la igualdad ganaremos </w:t>
      </w:r>
      <w:proofErr w:type="spellStart"/>
      <w:r w:rsidRPr="00707F30">
        <w:rPr>
          <w:sz w:val="20"/>
          <w:szCs w:val="20"/>
        </w:rPr>
        <w:t>tod</w:t>
      </w:r>
      <w:proofErr w:type="spellEnd"/>
      <w:r w:rsidRPr="00707F30">
        <w:rPr>
          <w:sz w:val="20"/>
          <w:szCs w:val="20"/>
        </w:rPr>
        <w:t>*s, pero si lo que el patriarcado supone es precisamente una red de poder de distribución desigual, no guste o no, alguien tendrá que perder con la igualdad. Y así deberá ser, si algunos sujetos se empoderan, otros tendremos que des-empoderarnos (si es que existe el concepto). Deberíamos dejar claro que esto no será una ventaja, no será bueno para todos, no será un regalo del cielo. Pero eso no quita que haya que hacerlo.</w:t>
      </w:r>
    </w:p>
    <w:p w:rsidR="006B15CE" w:rsidRPr="00707F30" w:rsidRDefault="006B15CE" w:rsidP="006B15CE">
      <w:pPr>
        <w:jc w:val="both"/>
        <w:rPr>
          <w:sz w:val="20"/>
          <w:szCs w:val="20"/>
        </w:rPr>
      </w:pPr>
      <w:r w:rsidRPr="00707F30">
        <w:rPr>
          <w:sz w:val="20"/>
          <w:szCs w:val="20"/>
        </w:rPr>
        <w:t>Asimismo, identifiqué en al análisis de algunos textos ciertos discursos de presunción de inocencia; la necesidad de reivindicar, ante un supuesto exceso de radicalidad de los feminismos, que todos los hombres no somos iguales. Es evidente que todos los hombres no somos iguales ni ejercemos de la misma manera la masculinidad, pero sería interesante estudiar por qué nos sentimos culpables o atacados y por qué nos enfadan según qué críticas o discursos. De alguna manera, se intuye la búsqueda de una nueva identidad personal y grupal, la de los hombres “alternativos”.</w:t>
      </w:r>
    </w:p>
    <w:p w:rsidR="006B15CE" w:rsidRPr="00707F30" w:rsidRDefault="006B15CE" w:rsidP="006B15CE">
      <w:pPr>
        <w:jc w:val="both"/>
        <w:rPr>
          <w:sz w:val="20"/>
          <w:szCs w:val="20"/>
        </w:rPr>
      </w:pPr>
      <w:r w:rsidRPr="00707F30">
        <w:rPr>
          <w:sz w:val="20"/>
          <w:szCs w:val="20"/>
        </w:rPr>
        <w:t xml:space="preserve"> Unido a todo esto, el concepto “nuevas masculinidades” emerge con fuerza en los últimos años, en algunos casos con vocación descriptiva (en el terreno académico) y en otras como propuesta de modelo a construir (en los movimientos sociales). En ambos casos me parece necesario y pertinente problematizar el concepto.</w:t>
      </w:r>
    </w:p>
    <w:p w:rsidR="006B15CE" w:rsidRPr="00707F30" w:rsidRDefault="006B15CE" w:rsidP="006B15CE">
      <w:pPr>
        <w:jc w:val="both"/>
        <w:rPr>
          <w:sz w:val="20"/>
          <w:szCs w:val="20"/>
        </w:rPr>
      </w:pPr>
      <w:r w:rsidRPr="00707F30">
        <w:rPr>
          <w:sz w:val="20"/>
          <w:szCs w:val="20"/>
        </w:rPr>
        <w:t xml:space="preserve">En el primero de los casos, me parece excesivo afirmar la existencia de “nuevas masculinidades” de manera acrítica. Claro que la masculinidad está cambiando, pero ¿cuándo no? Y, ¿en qué sentido y en qué contexto está cambiando? ¿No será la masculinidad de cierta clase social en cierto contexto la que está cambiando o al menos la que hace visible su cambio? ¿Son todos los cambios en la masculinidad </w:t>
      </w:r>
      <w:r w:rsidRPr="00707F30">
        <w:rPr>
          <w:sz w:val="20"/>
          <w:szCs w:val="20"/>
        </w:rPr>
        <w:lastRenderedPageBreak/>
        <w:t xml:space="preserve">“positivos” y “voluntarios”? Estos cambios y novedades que nos son visibles en lo identitario, ¿en qué medida y cómo afectan a las relaciones entre hombres y mujeres en el terreno material (reparto de recursos y poderes de todo tipo)? Diría que es posible trazar formas distintas  en las que hombres y mujeres han vivido la masculinidad a lo largo de la historia, pero sólo en este momento preciso hablamos de “nuevas masculinidades”, precisamente cuando es el grupo “hegemónico” el que está dando pasos hacia la transformación consciente del modelo masculino (transformación, que dicho sea de paso, </w:t>
      </w:r>
      <w:r w:rsidR="00707F30" w:rsidRPr="00707F30">
        <w:rPr>
          <w:sz w:val="20"/>
          <w:szCs w:val="20"/>
        </w:rPr>
        <w:t>valoró</w:t>
      </w:r>
      <w:r w:rsidRPr="00707F30">
        <w:rPr>
          <w:sz w:val="20"/>
          <w:szCs w:val="20"/>
        </w:rPr>
        <w:t xml:space="preserve"> positivamente). No quisiera por tanto cuestionar la capacidad para vivir la masculinidad de formas distintas señalada en el término “nuevas masculinidades”. Es su inflación discursiva lo que me preocupa.</w:t>
      </w:r>
    </w:p>
    <w:p w:rsidR="006B15CE" w:rsidRPr="00707F30" w:rsidRDefault="006B15CE" w:rsidP="006B15CE">
      <w:pPr>
        <w:jc w:val="both"/>
        <w:rPr>
          <w:sz w:val="20"/>
          <w:szCs w:val="20"/>
        </w:rPr>
      </w:pPr>
      <w:r w:rsidRPr="00707F30">
        <w:rPr>
          <w:sz w:val="20"/>
          <w:szCs w:val="20"/>
        </w:rPr>
        <w:t xml:space="preserve"> En el terreno social, reivindicar la búsqueda de “nuevas masculinidades” (que, a menudo, como he expuesto anteriormente, se limita de antemano a ciertos sujetos) puede tener además de su lado positivo un lado problemático. En las dos últimas décadas las teorías feministas han cuestionado el carácter binario del sexo. A pesar de las diferentes opiniones en el seno de los movimientos, diría que los debates han sido ricos y productivos. Sin embargo, nosotros todavía ni nos hemos planteado en la mayoría de los casos qué hacer con la masculinidad: ¿reformarla? ¿Transformarla? ¿Abolirla?</w:t>
      </w:r>
    </w:p>
    <w:p w:rsidR="006B15CE" w:rsidRPr="00707F30" w:rsidRDefault="006B15CE" w:rsidP="006B15CE">
      <w:pPr>
        <w:jc w:val="both"/>
        <w:rPr>
          <w:sz w:val="20"/>
          <w:szCs w:val="20"/>
        </w:rPr>
      </w:pPr>
      <w:r w:rsidRPr="00707F30">
        <w:rPr>
          <w:sz w:val="20"/>
          <w:szCs w:val="20"/>
        </w:rPr>
        <w:t xml:space="preserve"> Parece que sentimos más apego del que pensábamos hacia la masculinidad, seguramente porque de manera consciente e inconsciente sabemos que los privilegios que nos aporta no están nada mal. Pero aun cuando hacemos un intento de cuestionar los privilegios no somos capaces de retratar nuestras vidas y utopías más allá de la masculinidad (sea “nueva” o no). Sin obviar que la deconstrucción de la feminidad y la masculinidad conlleva consecuencias diferentes a muchos niveles, deberíamos intentar atender al debate sobre si queremos ser otros hombres, hombres distintos o simplemente menos hombres.</w:t>
      </w:r>
    </w:p>
    <w:p w:rsidR="00707F30" w:rsidRPr="00271149" w:rsidRDefault="00707F30" w:rsidP="006B15CE">
      <w:pPr>
        <w:jc w:val="both"/>
        <w:rPr>
          <w:b/>
          <w:sz w:val="20"/>
          <w:szCs w:val="20"/>
        </w:rPr>
      </w:pPr>
      <w:r w:rsidRPr="00271149">
        <w:rPr>
          <w:b/>
          <w:sz w:val="20"/>
          <w:szCs w:val="20"/>
        </w:rPr>
        <w:t>DESPUÉS DE LEER DE</w:t>
      </w:r>
      <w:r w:rsidR="00050E2C" w:rsidRPr="00271149">
        <w:rPr>
          <w:b/>
          <w:sz w:val="20"/>
          <w:szCs w:val="20"/>
        </w:rPr>
        <w:t>TENIDAMENTE EL ANTERIOR TEXTO REALIZA EL SIGUIENTE EJERCICIO:</w:t>
      </w:r>
    </w:p>
    <w:p w:rsidR="00050E2C" w:rsidRDefault="00050E2C" w:rsidP="00050E2C">
      <w:pPr>
        <w:jc w:val="both"/>
        <w:rPr>
          <w:b/>
          <w:sz w:val="24"/>
          <w:szCs w:val="24"/>
        </w:rPr>
      </w:pPr>
      <w:r>
        <w:rPr>
          <w:b/>
          <w:sz w:val="24"/>
          <w:szCs w:val="24"/>
        </w:rPr>
        <w:t>TALLER DE LECTO – ESCRITURA:</w:t>
      </w:r>
    </w:p>
    <w:p w:rsidR="00050E2C" w:rsidRPr="005670DC" w:rsidRDefault="00050E2C" w:rsidP="00050E2C">
      <w:pPr>
        <w:jc w:val="both"/>
        <w:rPr>
          <w:sz w:val="20"/>
          <w:szCs w:val="20"/>
        </w:rPr>
      </w:pPr>
      <w:r w:rsidRPr="005670DC">
        <w:rPr>
          <w:sz w:val="20"/>
          <w:szCs w:val="20"/>
        </w:rPr>
        <w:t>Teniendo en cuenta que el resumen es una actividad textual que consiste fundamentalmente en elaborar un nuevo texto reduciendo a lo esencial el contenido de otro, pero sin añadir información que no conste en ese texto de partida y sin em</w:t>
      </w:r>
      <w:r>
        <w:rPr>
          <w:sz w:val="20"/>
          <w:szCs w:val="20"/>
        </w:rPr>
        <w:t xml:space="preserve">itir juicios personales, escribe </w:t>
      </w:r>
      <w:r w:rsidRPr="005670DC">
        <w:rPr>
          <w:sz w:val="20"/>
          <w:szCs w:val="20"/>
        </w:rPr>
        <w:t>un resumen del a</w:t>
      </w:r>
      <w:r>
        <w:rPr>
          <w:sz w:val="20"/>
          <w:szCs w:val="20"/>
        </w:rPr>
        <w:t>nterior texto utilizando</w:t>
      </w:r>
      <w:r w:rsidRPr="005670DC">
        <w:rPr>
          <w:sz w:val="20"/>
          <w:szCs w:val="20"/>
        </w:rPr>
        <w:t xml:space="preserve"> los siguientes criterios: </w:t>
      </w:r>
    </w:p>
    <w:p w:rsidR="00050E2C" w:rsidRPr="005670DC" w:rsidRDefault="00050E2C" w:rsidP="00050E2C">
      <w:pPr>
        <w:jc w:val="both"/>
        <w:rPr>
          <w:sz w:val="20"/>
          <w:szCs w:val="20"/>
        </w:rPr>
      </w:pPr>
      <w:r w:rsidRPr="005670DC">
        <w:rPr>
          <w:sz w:val="20"/>
          <w:szCs w:val="20"/>
        </w:rPr>
        <w:t xml:space="preserve"> •Que sea fiel al texto original.</w:t>
      </w:r>
    </w:p>
    <w:p w:rsidR="00050E2C" w:rsidRPr="005670DC" w:rsidRDefault="00050E2C" w:rsidP="00050E2C">
      <w:pPr>
        <w:jc w:val="both"/>
        <w:rPr>
          <w:sz w:val="20"/>
          <w:szCs w:val="20"/>
        </w:rPr>
      </w:pPr>
      <w:r w:rsidRPr="005670DC">
        <w:rPr>
          <w:sz w:val="20"/>
          <w:szCs w:val="20"/>
        </w:rPr>
        <w:t>•Que recoja con objetividad sólo los contenidos principales del texto de partida.</w:t>
      </w:r>
    </w:p>
    <w:p w:rsidR="00050E2C" w:rsidRPr="005670DC" w:rsidRDefault="00050E2C" w:rsidP="00050E2C">
      <w:pPr>
        <w:jc w:val="both"/>
        <w:rPr>
          <w:sz w:val="20"/>
          <w:szCs w:val="20"/>
        </w:rPr>
      </w:pPr>
      <w:r w:rsidRPr="005670DC">
        <w:rPr>
          <w:sz w:val="20"/>
          <w:szCs w:val="20"/>
        </w:rPr>
        <w:t>•Que no incluya información que no conste en el texto original.</w:t>
      </w:r>
    </w:p>
    <w:p w:rsidR="00050E2C" w:rsidRPr="005670DC" w:rsidRDefault="00050E2C" w:rsidP="00050E2C">
      <w:pPr>
        <w:jc w:val="both"/>
        <w:rPr>
          <w:sz w:val="20"/>
          <w:szCs w:val="20"/>
        </w:rPr>
      </w:pPr>
      <w:r w:rsidRPr="005670DC">
        <w:rPr>
          <w:sz w:val="20"/>
          <w:szCs w:val="20"/>
        </w:rPr>
        <w:t>•Que no incluya valoraciones ni juicios personales.</w:t>
      </w:r>
    </w:p>
    <w:p w:rsidR="00050E2C" w:rsidRPr="005670DC" w:rsidRDefault="00050E2C" w:rsidP="00050E2C">
      <w:pPr>
        <w:jc w:val="both"/>
        <w:rPr>
          <w:sz w:val="20"/>
          <w:szCs w:val="20"/>
        </w:rPr>
      </w:pPr>
      <w:r w:rsidRPr="005670DC">
        <w:rPr>
          <w:sz w:val="20"/>
          <w:szCs w:val="20"/>
        </w:rPr>
        <w:t>•Que sea proporcional. Se recomienda que en ningún caso la extensión del resumen sobrepase un tercio del texto propuesto.</w:t>
      </w:r>
    </w:p>
    <w:p w:rsidR="00050E2C" w:rsidRPr="005670DC" w:rsidRDefault="00050E2C" w:rsidP="00050E2C">
      <w:pPr>
        <w:jc w:val="both"/>
        <w:rPr>
          <w:sz w:val="20"/>
          <w:szCs w:val="20"/>
        </w:rPr>
      </w:pPr>
      <w:r w:rsidRPr="005670DC">
        <w:rPr>
          <w:sz w:val="20"/>
          <w:szCs w:val="20"/>
        </w:rPr>
        <w:t xml:space="preserve">•Que no repita literalmente secuencias y enunciados completos del original, razón por la que no es recomendable el uso de muletillas como El autor dice..., El texto trata de..., etc. </w:t>
      </w:r>
    </w:p>
    <w:p w:rsidR="00050E2C" w:rsidRPr="005670DC" w:rsidRDefault="00050E2C" w:rsidP="00050E2C">
      <w:pPr>
        <w:jc w:val="both"/>
        <w:rPr>
          <w:sz w:val="20"/>
          <w:szCs w:val="20"/>
        </w:rPr>
      </w:pPr>
      <w:r w:rsidRPr="005670DC">
        <w:rPr>
          <w:sz w:val="20"/>
          <w:szCs w:val="20"/>
        </w:rPr>
        <w:t>•Que se redacte de una forma personal.</w:t>
      </w:r>
    </w:p>
    <w:p w:rsidR="00050E2C" w:rsidRPr="005670DC" w:rsidRDefault="00050E2C" w:rsidP="00050E2C">
      <w:pPr>
        <w:jc w:val="both"/>
        <w:rPr>
          <w:sz w:val="20"/>
          <w:szCs w:val="20"/>
        </w:rPr>
      </w:pPr>
      <w:r w:rsidRPr="005670DC">
        <w:rPr>
          <w:sz w:val="20"/>
          <w:szCs w:val="20"/>
        </w:rPr>
        <w:t xml:space="preserve">•Que sea un nuevo texto con las propiedades de la coherencia, la cohesión y la corrección.   </w:t>
      </w:r>
    </w:p>
    <w:p w:rsidR="00050E2C" w:rsidRDefault="00050E2C" w:rsidP="006B15CE">
      <w:pPr>
        <w:jc w:val="both"/>
        <w:rPr>
          <w:sz w:val="20"/>
          <w:szCs w:val="20"/>
        </w:rPr>
      </w:pPr>
    </w:p>
    <w:p w:rsidR="00707F30" w:rsidRDefault="00707F30" w:rsidP="006B15CE">
      <w:pPr>
        <w:jc w:val="both"/>
        <w:rPr>
          <w:sz w:val="20"/>
          <w:szCs w:val="20"/>
        </w:rPr>
      </w:pPr>
    </w:p>
    <w:p w:rsidR="00707F30" w:rsidRPr="00707F30" w:rsidRDefault="00707F30" w:rsidP="006B15CE">
      <w:pPr>
        <w:jc w:val="both"/>
        <w:rPr>
          <w:sz w:val="20"/>
          <w:szCs w:val="20"/>
        </w:rPr>
      </w:pPr>
    </w:p>
    <w:p w:rsidR="00615809" w:rsidRPr="00707F30" w:rsidRDefault="00615809" w:rsidP="00615809">
      <w:pPr>
        <w:rPr>
          <w:sz w:val="20"/>
          <w:szCs w:val="20"/>
        </w:rPr>
      </w:pPr>
    </w:p>
    <w:sectPr w:rsidR="00615809" w:rsidRPr="00707F30" w:rsidSect="00271149">
      <w:type w:val="continuous"/>
      <w:pgSz w:w="12020" w:h="18711"/>
      <w:pgMar w:top="720" w:right="720" w:bottom="720" w:left="567" w:header="709" w:footer="57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561" w:rsidRDefault="00684561" w:rsidP="00BB3C89">
      <w:pPr>
        <w:spacing w:after="0" w:line="240" w:lineRule="auto"/>
      </w:pPr>
      <w:r>
        <w:separator/>
      </w:r>
    </w:p>
  </w:endnote>
  <w:endnote w:type="continuationSeparator" w:id="0">
    <w:p w:rsidR="00684561" w:rsidRDefault="00684561" w:rsidP="00BB3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altName w:val="Calibri"/>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EE8" w:rsidRDefault="00DA2EE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90B" w:rsidRPr="0061590B" w:rsidRDefault="0061590B" w:rsidP="0061590B">
    <w:pPr>
      <w:pStyle w:val="Piedepgina"/>
      <w:jc w:val="right"/>
      <w:rPr>
        <w:b/>
        <w:i/>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EE8" w:rsidRDefault="00DA2E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561" w:rsidRDefault="00684561" w:rsidP="00BB3C89">
      <w:pPr>
        <w:spacing w:after="0" w:line="240" w:lineRule="auto"/>
      </w:pPr>
      <w:r>
        <w:separator/>
      </w:r>
    </w:p>
  </w:footnote>
  <w:footnote w:type="continuationSeparator" w:id="0">
    <w:p w:rsidR="00684561" w:rsidRDefault="00684561" w:rsidP="00BB3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EE8" w:rsidRDefault="00DA2EE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1B7" w:rsidRDefault="00DA2EE8" w:rsidP="00BB3C89">
    <w:pPr>
      <w:pStyle w:val="Encabezado"/>
      <w:jc w:val="center"/>
      <w:rPr>
        <w:rFonts w:ascii="Arial Black" w:hAnsi="Arial Black"/>
        <w:b/>
        <w:color w:val="000000" w:themeColor="text1"/>
      </w:rPr>
    </w:pPr>
    <w:r>
      <w:rPr>
        <w:noProof/>
      </w:rPr>
      <w:drawing>
        <wp:anchor distT="0" distB="0" distL="114300" distR="114300" simplePos="0" relativeHeight="251659776" behindDoc="0" locked="0" layoutInCell="1" allowOverlap="1">
          <wp:simplePos x="0" y="0"/>
          <wp:positionH relativeFrom="column">
            <wp:posOffset>201930</wp:posOffset>
          </wp:positionH>
          <wp:positionV relativeFrom="paragraph">
            <wp:posOffset>111760</wp:posOffset>
          </wp:positionV>
          <wp:extent cx="756285" cy="714375"/>
          <wp:effectExtent l="0" t="0" r="5715" b="9525"/>
          <wp:wrapSquare wrapText="r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714375"/>
                  </a:xfrm>
                  <a:prstGeom prst="rect">
                    <a:avLst/>
                  </a:prstGeom>
                  <a:noFill/>
                </pic:spPr>
              </pic:pic>
            </a:graphicData>
          </a:graphic>
          <wp14:sizeRelH relativeFrom="page">
            <wp14:pctWidth>0</wp14:pctWidth>
          </wp14:sizeRelH>
          <wp14:sizeRelV relativeFrom="page">
            <wp14:pctHeight>0</wp14:pctHeight>
          </wp14:sizeRelV>
        </wp:anchor>
      </w:drawing>
    </w:r>
  </w:p>
  <w:p w:rsidR="00DA2EE8" w:rsidRDefault="00DA2EE8" w:rsidP="00DA2EE8">
    <w:pPr>
      <w:pStyle w:val="Encabezado"/>
      <w:tabs>
        <w:tab w:val="left" w:pos="871"/>
        <w:tab w:val="center" w:pos="4703"/>
        <w:tab w:val="right" w:pos="9356"/>
        <w:tab w:val="right" w:pos="9406"/>
      </w:tabs>
      <w:jc w:val="center"/>
      <w:rPr>
        <w:rFonts w:ascii="Arial Narrow" w:hAnsi="Arial Narrow" w:cs="Arial"/>
        <w:i/>
        <w:sz w:val="20"/>
        <w:szCs w:val="20"/>
      </w:rPr>
    </w:pPr>
    <w:r w:rsidRPr="00A37A9D">
      <w:rPr>
        <w:rFonts w:ascii="Arial Black" w:hAnsi="Arial Black"/>
        <w:noProof/>
        <w:color w:val="000000" w:themeColor="text1"/>
        <w:lang w:eastAsia="es-CO"/>
      </w:rPr>
      <w:drawing>
        <wp:anchor distT="0" distB="0" distL="114300" distR="114300" simplePos="0" relativeHeight="251662848" behindDoc="0" locked="0" layoutInCell="1" allowOverlap="1" wp14:anchorId="2D5F0B90" wp14:editId="324B5B3F">
          <wp:simplePos x="0" y="0"/>
          <wp:positionH relativeFrom="column">
            <wp:posOffset>6057900</wp:posOffset>
          </wp:positionH>
          <wp:positionV relativeFrom="paragraph">
            <wp:posOffset>24130</wp:posOffset>
          </wp:positionV>
          <wp:extent cx="477520" cy="572770"/>
          <wp:effectExtent l="0" t="0" r="0" b="0"/>
          <wp:wrapNone/>
          <wp:docPr id="15" name="irc_mi" descr="http://upload.wikimedia.org/wikipedia/commons/thumb/9/96/Bogota_(escudo).svg/200px-Bogota_(escudo).svg.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9/96/Bogota_(escudo).svg/200px-Bogota_(escudo).svg.png">
                    <a:hlinkClick r:id="rId2"/>
                  </pic:cNvPr>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47752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C58">
      <w:rPr>
        <w:noProof/>
        <w:lang w:eastAsia="es-CO"/>
      </w:rPr>
      <mc:AlternateContent>
        <mc:Choice Requires="wps">
          <w:drawing>
            <wp:anchor distT="0" distB="0" distL="114300" distR="114300" simplePos="0" relativeHeight="251656704" behindDoc="0" locked="0" layoutInCell="1" allowOverlap="1" wp14:anchorId="0B5DF82A" wp14:editId="2F060EA5">
              <wp:simplePos x="0" y="0"/>
              <wp:positionH relativeFrom="column">
                <wp:posOffset>-59794</wp:posOffset>
              </wp:positionH>
              <wp:positionV relativeFrom="paragraph">
                <wp:posOffset>-136316</wp:posOffset>
              </wp:positionV>
              <wp:extent cx="6905625" cy="832229"/>
              <wp:effectExtent l="0" t="0" r="28575" b="25400"/>
              <wp:wrapNone/>
              <wp:docPr id="13" name="13 Rectángulo redondeado"/>
              <wp:cNvGraphicFramePr/>
              <a:graphic xmlns:a="http://schemas.openxmlformats.org/drawingml/2006/main">
                <a:graphicData uri="http://schemas.microsoft.com/office/word/2010/wordprocessingShape">
                  <wps:wsp>
                    <wps:cNvSpPr/>
                    <wps:spPr>
                      <a:xfrm>
                        <a:off x="0" y="0"/>
                        <a:ext cx="6905625" cy="83222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E1D1DE" id="13 Rectángulo redondeado" o:spid="_x0000_s1026" style="position:absolute;margin-left:-4.7pt;margin-top:-10.75pt;width:543.75pt;height:6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" filled="f" strokecolor="black [3213]" strokeweight="2pt"/>
          </w:pict>
        </mc:Fallback>
      </mc:AlternateContent>
    </w:r>
    <w:r>
      <w:rPr>
        <w:rFonts w:ascii="Arial Narrow" w:hAnsi="Arial Narrow" w:cs="Arial"/>
        <w:i/>
        <w:sz w:val="20"/>
        <w:szCs w:val="20"/>
      </w:rPr>
      <w:t xml:space="preserve">SECRETARIA DE EDUCACION DISTRITAL            </w:t>
    </w:r>
  </w:p>
  <w:p w:rsidR="00DA2EE8" w:rsidRDefault="00DA2EE8" w:rsidP="00DA2EE8">
    <w:pPr>
      <w:pStyle w:val="Encabezado"/>
      <w:jc w:val="center"/>
      <w:rPr>
        <w:rFonts w:ascii="Lucida Handwriting" w:hAnsi="Lucida Handwriting" w:cs="Arial"/>
        <w:b/>
        <w:sz w:val="24"/>
        <w:szCs w:val="24"/>
      </w:rPr>
    </w:pPr>
    <w:r>
      <w:rPr>
        <w:rFonts w:ascii="Lucida Handwriting" w:hAnsi="Lucida Handwriting" w:cs="Arial"/>
        <w:b/>
      </w:rPr>
      <w:t xml:space="preserve">Colegio Nacional Nicolás Esquerra IED                              </w:t>
    </w:r>
  </w:p>
  <w:p w:rsidR="00DA2EE8" w:rsidRDefault="00DA2EE8" w:rsidP="00DA2EE8">
    <w:pPr>
      <w:pStyle w:val="Encabezado"/>
      <w:jc w:val="center"/>
      <w:rPr>
        <w:rFonts w:ascii="Arial Narrow" w:hAnsi="Arial Narrow" w:cs="Arial"/>
        <w:i/>
        <w:sz w:val="20"/>
        <w:szCs w:val="20"/>
      </w:rPr>
    </w:pPr>
    <w:r>
      <w:rPr>
        <w:rFonts w:ascii="Arial Narrow" w:hAnsi="Arial Narrow" w:cs="Arial"/>
        <w:i/>
        <w:sz w:val="20"/>
        <w:szCs w:val="20"/>
      </w:rPr>
      <w:t>PEI: EDIFICANDO FUTURO</w:t>
    </w:r>
  </w:p>
  <w:p w:rsidR="00850EEE" w:rsidRPr="00A37A9D" w:rsidRDefault="00850EEE" w:rsidP="00BB3C89">
    <w:pPr>
      <w:pStyle w:val="Encabezado"/>
      <w:jc w:val="center"/>
      <w:rPr>
        <w:rFonts w:ascii="Arial Black" w:hAnsi="Arial Black"/>
        <w:b/>
        <w:color w:val="000000" w:themeColor="text1"/>
      </w:rPr>
    </w:pPr>
  </w:p>
  <w:p w:rsidR="0061590B" w:rsidRDefault="00F33C58" w:rsidP="0061590B">
    <w:pPr>
      <w:pStyle w:val="Encabezado"/>
      <w:jc w:val="both"/>
      <w:rPr>
        <w:rStyle w:val="Textoennegrita"/>
        <w:rFonts w:ascii="Arial Black" w:hAnsi="Arial Black" w:cs="Arial"/>
        <w:color w:val="000000" w:themeColor="text1"/>
        <w:lang w:val="es-ES"/>
      </w:rPr>
    </w:pPr>
    <w:r>
      <w:rPr>
        <w:rFonts w:ascii="Arial Black" w:hAnsi="Arial Black" w:cs="Arial"/>
        <w:b/>
        <w:bCs/>
        <w:noProof/>
        <w:color w:val="000000" w:themeColor="text1"/>
        <w:lang w:eastAsia="es-CO"/>
      </w:rPr>
      <mc:AlternateContent>
        <mc:Choice Requires="wps">
          <w:drawing>
            <wp:anchor distT="0" distB="0" distL="114300" distR="114300" simplePos="0" relativeHeight="251658752" behindDoc="1" locked="0" layoutInCell="1" allowOverlap="1" wp14:anchorId="0354D729" wp14:editId="68CEEFEC">
              <wp:simplePos x="0" y="0"/>
              <wp:positionH relativeFrom="column">
                <wp:posOffset>-59795</wp:posOffset>
              </wp:positionH>
              <wp:positionV relativeFrom="paragraph">
                <wp:posOffset>105012</wp:posOffset>
              </wp:positionV>
              <wp:extent cx="6905767" cy="600075"/>
              <wp:effectExtent l="0" t="0" r="28575" b="28575"/>
              <wp:wrapNone/>
              <wp:docPr id="2" name="2 Rectángulo redondeado"/>
              <wp:cNvGraphicFramePr/>
              <a:graphic xmlns:a="http://schemas.openxmlformats.org/drawingml/2006/main">
                <a:graphicData uri="http://schemas.microsoft.com/office/word/2010/wordprocessingShape">
                  <wps:wsp>
                    <wps:cNvSpPr/>
                    <wps:spPr>
                      <a:xfrm>
                        <a:off x="0" y="0"/>
                        <a:ext cx="6905767" cy="6000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38FD7F" id="2 Rectángulo redondeado" o:spid="_x0000_s1026" style="position:absolute;margin-left:-4.7pt;margin-top:8.25pt;width:543.7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" filled="f" strokecolor="black [3213]" strokeweight="2pt"/>
          </w:pict>
        </mc:Fallback>
      </mc:AlternateContent>
    </w:r>
  </w:p>
  <w:p w:rsidR="0061590B" w:rsidRDefault="00DA2EE8" w:rsidP="0061590B">
    <w:pPr>
      <w:pStyle w:val="Encabezado"/>
      <w:jc w:val="both"/>
      <w:rPr>
        <w:rStyle w:val="Textoennegrita"/>
        <w:rFonts w:ascii="Arial Black" w:hAnsi="Arial Black" w:cs="Arial"/>
        <w:color w:val="000000" w:themeColor="text1"/>
        <w:lang w:val="es-ES"/>
      </w:rPr>
    </w:pPr>
    <w:proofErr w:type="gramStart"/>
    <w:r>
      <w:rPr>
        <w:rStyle w:val="Textoennegrita"/>
        <w:rFonts w:ascii="Arial Black" w:hAnsi="Arial Black" w:cs="Arial"/>
        <w:color w:val="000000" w:themeColor="text1"/>
        <w:lang w:val="es-ES"/>
      </w:rPr>
      <w:t>ASIGNATURA:</w:t>
    </w:r>
    <w:r w:rsidR="0061590B">
      <w:rPr>
        <w:rStyle w:val="Textoennegrita"/>
        <w:rFonts w:ascii="Arial Black" w:hAnsi="Arial Black" w:cs="Arial"/>
        <w:color w:val="000000" w:themeColor="text1"/>
        <w:lang w:val="es-ES"/>
      </w:rPr>
      <w:t>_</w:t>
    </w:r>
    <w:proofErr w:type="gramEnd"/>
    <w:r w:rsidR="0061590B">
      <w:rPr>
        <w:rStyle w:val="Textoennegrita"/>
        <w:rFonts w:ascii="Arial Black" w:hAnsi="Arial Black" w:cs="Arial"/>
        <w:color w:val="000000" w:themeColor="text1"/>
        <w:lang w:val="es-ES"/>
      </w:rPr>
      <w:t>____________</w:t>
    </w:r>
    <w:r>
      <w:rPr>
        <w:rStyle w:val="Textoennegrita"/>
        <w:rFonts w:ascii="Arial Black" w:hAnsi="Arial Black" w:cs="Arial"/>
        <w:color w:val="000000" w:themeColor="text1"/>
        <w:lang w:val="es-ES"/>
      </w:rPr>
      <w:t>_________PERIODO:</w:t>
    </w:r>
    <w:r w:rsidR="00F33C58">
      <w:rPr>
        <w:rStyle w:val="Textoennegrita"/>
        <w:rFonts w:ascii="Arial Black" w:hAnsi="Arial Black" w:cs="Arial"/>
        <w:color w:val="000000" w:themeColor="text1"/>
        <w:lang w:val="es-ES"/>
      </w:rPr>
      <w:t>___________</w:t>
    </w:r>
    <w:r w:rsidR="0061590B">
      <w:rPr>
        <w:rStyle w:val="Textoennegrita"/>
        <w:rFonts w:ascii="Arial Black" w:hAnsi="Arial Black" w:cs="Arial"/>
        <w:color w:val="000000" w:themeColor="text1"/>
        <w:lang w:val="es-ES"/>
      </w:rPr>
      <w:t>DOCENTE:</w:t>
    </w:r>
    <w:r>
      <w:rPr>
        <w:rStyle w:val="Textoennegrita"/>
        <w:rFonts w:ascii="Arial Black" w:hAnsi="Arial Black" w:cs="Arial"/>
        <w:color w:val="000000" w:themeColor="text1"/>
        <w:lang w:val="es-ES"/>
      </w:rPr>
      <w:t>__________________________</w:t>
    </w:r>
    <w:r w:rsidR="0061590B">
      <w:rPr>
        <w:rStyle w:val="Textoennegrita"/>
        <w:rFonts w:ascii="Arial Black" w:hAnsi="Arial Black" w:cs="Arial"/>
        <w:color w:val="000000" w:themeColor="text1"/>
        <w:lang w:val="es-ES"/>
      </w:rPr>
      <w:t xml:space="preserve">CURSO__________________________GUIA </w:t>
    </w:r>
    <w:r w:rsidR="00F33C58">
      <w:rPr>
        <w:rStyle w:val="Textoennegrita"/>
        <w:rFonts w:ascii="Arial Black" w:hAnsi="Arial Black" w:cs="Arial"/>
        <w:color w:val="000000" w:themeColor="text1"/>
        <w:lang w:val="es-ES"/>
      </w:rPr>
      <w:t>No</w:t>
    </w:r>
    <w:r w:rsidR="0061590B">
      <w:rPr>
        <w:rStyle w:val="Textoennegrita"/>
        <w:rFonts w:ascii="Arial Black" w:hAnsi="Arial Black" w:cs="Arial"/>
        <w:color w:val="000000" w:themeColor="text1"/>
        <w:lang w:val="es-ES"/>
      </w:rPr>
      <w:t>________</w:t>
    </w:r>
  </w:p>
  <w:p w:rsidR="0061590B" w:rsidRDefault="0061590B" w:rsidP="0061590B">
    <w:pPr>
      <w:pStyle w:val="Encabezado"/>
      <w:jc w:val="both"/>
      <w:rPr>
        <w:rStyle w:val="Textoennegrita"/>
        <w:rFonts w:ascii="Arial Black" w:hAnsi="Arial Black" w:cs="Arial"/>
        <w:color w:val="000000" w:themeColor="text1"/>
        <w:lang w:val="es-ES"/>
      </w:rPr>
    </w:pPr>
    <w:r>
      <w:rPr>
        <w:rFonts w:ascii="Arial Black" w:hAnsi="Arial Black" w:cs="Arial"/>
        <w:b/>
        <w:bCs/>
        <w:noProof/>
        <w:color w:val="000000" w:themeColor="text1"/>
        <w:lang w:eastAsia="es-CO"/>
      </w:rPr>
      <mc:AlternateContent>
        <mc:Choice Requires="wps">
          <w:drawing>
            <wp:anchor distT="0" distB="0" distL="114300" distR="114300" simplePos="0" relativeHeight="251669504" behindDoc="1" locked="0" layoutInCell="1" allowOverlap="1" wp14:anchorId="65D726A1" wp14:editId="09F1E3AE">
              <wp:simplePos x="0" y="0"/>
              <wp:positionH relativeFrom="column">
                <wp:posOffset>-59794</wp:posOffset>
              </wp:positionH>
              <wp:positionV relativeFrom="paragraph">
                <wp:posOffset>114963</wp:posOffset>
              </wp:positionV>
              <wp:extent cx="6905625" cy="9594377"/>
              <wp:effectExtent l="0" t="0" r="28575" b="26035"/>
              <wp:wrapNone/>
              <wp:docPr id="1" name="1 Rectángulo redondeado"/>
              <wp:cNvGraphicFramePr/>
              <a:graphic xmlns:a="http://schemas.openxmlformats.org/drawingml/2006/main">
                <a:graphicData uri="http://schemas.microsoft.com/office/word/2010/wordprocessingShape">
                  <wps:wsp>
                    <wps:cNvSpPr/>
                    <wps:spPr>
                      <a:xfrm>
                        <a:off x="0" y="0"/>
                        <a:ext cx="6905625" cy="9594377"/>
                      </a:xfrm>
                      <a:prstGeom prst="roundRect">
                        <a:avLst>
                          <a:gd name="adj" fmla="val 30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0BE2F4" id="1 Rectángulo redondeado" o:spid="_x0000_s1026" style="position:absolute;margin-left:-4.7pt;margin-top:9.05pt;width:543.75pt;height:755.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" filled="f" strokecolor="black [3213]"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EE8" w:rsidRDefault="00DA2E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772A7"/>
    <w:multiLevelType w:val="hybridMultilevel"/>
    <w:tmpl w:val="FFF400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BED2EE4"/>
    <w:multiLevelType w:val="hybridMultilevel"/>
    <w:tmpl w:val="41DAA6D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7D0B61D9"/>
    <w:multiLevelType w:val="hybridMultilevel"/>
    <w:tmpl w:val="FFF400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89"/>
    <w:rsid w:val="00050E2C"/>
    <w:rsid w:val="00084F6D"/>
    <w:rsid w:val="000A152B"/>
    <w:rsid w:val="0013275B"/>
    <w:rsid w:val="001D7801"/>
    <w:rsid w:val="00271149"/>
    <w:rsid w:val="002D7704"/>
    <w:rsid w:val="002F4333"/>
    <w:rsid w:val="003603C4"/>
    <w:rsid w:val="004A150D"/>
    <w:rsid w:val="005071D2"/>
    <w:rsid w:val="005128FC"/>
    <w:rsid w:val="005951B7"/>
    <w:rsid w:val="00615809"/>
    <w:rsid w:val="0061590B"/>
    <w:rsid w:val="00684561"/>
    <w:rsid w:val="006B15CE"/>
    <w:rsid w:val="00707F30"/>
    <w:rsid w:val="00797C01"/>
    <w:rsid w:val="007F61D8"/>
    <w:rsid w:val="00812232"/>
    <w:rsid w:val="00850EEE"/>
    <w:rsid w:val="008A720C"/>
    <w:rsid w:val="008F0A41"/>
    <w:rsid w:val="008F218E"/>
    <w:rsid w:val="0091528C"/>
    <w:rsid w:val="00970276"/>
    <w:rsid w:val="00A328C2"/>
    <w:rsid w:val="00A37A9D"/>
    <w:rsid w:val="00A637BA"/>
    <w:rsid w:val="00AA57A1"/>
    <w:rsid w:val="00B80427"/>
    <w:rsid w:val="00BB3C89"/>
    <w:rsid w:val="00CC0C3B"/>
    <w:rsid w:val="00CE33F4"/>
    <w:rsid w:val="00DA2EE8"/>
    <w:rsid w:val="00DC3402"/>
    <w:rsid w:val="00E53FA3"/>
    <w:rsid w:val="00E926CF"/>
    <w:rsid w:val="00EE6EC7"/>
    <w:rsid w:val="00F25C4C"/>
    <w:rsid w:val="00F33C58"/>
    <w:rsid w:val="00F3767B"/>
    <w:rsid w:val="00F648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4CBB"/>
  <w15:docId w15:val="{B97C5F73-7FD0-451B-8D74-2EF7EA46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5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3C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3C89"/>
  </w:style>
  <w:style w:type="paragraph" w:styleId="Piedepgina">
    <w:name w:val="footer"/>
    <w:basedOn w:val="Normal"/>
    <w:link w:val="PiedepginaCar"/>
    <w:uiPriority w:val="99"/>
    <w:unhideWhenUsed/>
    <w:rsid w:val="00BB3C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3C89"/>
  </w:style>
  <w:style w:type="paragraph" w:styleId="Textodeglobo">
    <w:name w:val="Balloon Text"/>
    <w:basedOn w:val="Normal"/>
    <w:link w:val="TextodegloboCar"/>
    <w:uiPriority w:val="99"/>
    <w:semiHidden/>
    <w:unhideWhenUsed/>
    <w:rsid w:val="00BB3C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3C89"/>
    <w:rPr>
      <w:rFonts w:ascii="Tahoma" w:hAnsi="Tahoma" w:cs="Tahoma"/>
      <w:sz w:val="16"/>
      <w:szCs w:val="16"/>
    </w:rPr>
  </w:style>
  <w:style w:type="character" w:styleId="Textoennegrita">
    <w:name w:val="Strong"/>
    <w:basedOn w:val="Fuentedeprrafopredeter"/>
    <w:uiPriority w:val="22"/>
    <w:qFormat/>
    <w:rsid w:val="00BB3C89"/>
    <w:rPr>
      <w:b/>
      <w:bCs/>
    </w:rPr>
  </w:style>
  <w:style w:type="table" w:styleId="Tablaconcuadrcula">
    <w:name w:val="Table Grid"/>
    <w:basedOn w:val="Tablanormal"/>
    <w:uiPriority w:val="59"/>
    <w:rsid w:val="00DC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2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ogle.com.co/url?sa=i&amp;rct=j&amp;q=ESCUDO+BOGOTA&amp;source=images&amp;cd=&amp;cad=rja&amp;docid=W1kaSujmbirG3M&amp;tbnid=KH6fr6S9Bp8U8M:&amp;ved=0CAUQjRw&amp;url=http://es.wikipedia.org/wiki/Escudo_de_Bogot%C3%A1&amp;ei=0a4NUd_fGYjK9QTrx4DACQ&amp;bvm=bv.41867550,d.eWU&amp;psig=AFQjCNGH204gEMz_TaOGAF3GeIY2_AS3YA&amp;ust=1359937610346394"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2106</Words>
  <Characters>11588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Diana</cp:lastModifiedBy>
  <cp:revision>2</cp:revision>
  <dcterms:created xsi:type="dcterms:W3CDTF">2018-08-15T03:17:00Z</dcterms:created>
  <dcterms:modified xsi:type="dcterms:W3CDTF">2018-08-15T03:17:00Z</dcterms:modified>
</cp:coreProperties>
</file>